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914C" w14:textId="77777777" w:rsidR="00FB53BC" w:rsidRPr="00BF4998" w:rsidRDefault="00FB53BC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Times"/>
        </w:rPr>
      </w:pPr>
      <w:r w:rsidRPr="00BF4998">
        <w:rPr>
          <w:rFonts w:ascii="Cambria" w:hAnsi="Cambria" w:cs="Calibri"/>
          <w:b/>
          <w:bCs/>
        </w:rPr>
        <w:t>RECOMENDAÇÕES PRÁTICAS PARA ELABORAÇÃO E CORREÇÃO DE QUESTÕES DE RESPOSTA LIVRE (</w:t>
      </w:r>
      <w:proofErr w:type="spellStart"/>
      <w:r w:rsidRPr="00BF4998">
        <w:rPr>
          <w:rFonts w:ascii="Cambria" w:hAnsi="Cambria" w:cs="Calibri"/>
          <w:b/>
          <w:bCs/>
        </w:rPr>
        <w:t>Gessinger</w:t>
      </w:r>
      <w:proofErr w:type="spellEnd"/>
      <w:r w:rsidRPr="00BF4998">
        <w:rPr>
          <w:rFonts w:ascii="Cambria" w:hAnsi="Cambria" w:cs="Calibri"/>
          <w:b/>
          <w:bCs/>
        </w:rPr>
        <w:t xml:space="preserve"> et al, 2010)</w:t>
      </w:r>
    </w:p>
    <w:p w14:paraId="0041E402" w14:textId="77777777" w:rsidR="00FB53BC" w:rsidRPr="00BF4998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a) Planeje cuidadosamente a questão: examine a clareza da proposta, a especificação da linha de abordagem, a possibilidade de realização da tarefa no tempo estabelecido, suas próprias disponibilidades de tempo para que o período de correção não represente uma sobrecarga, comprometendo a qualidade da avaliação. </w:t>
      </w:r>
    </w:p>
    <w:p w14:paraId="7AD4DA91" w14:textId="77777777" w:rsidR="00FB53BC" w:rsidRPr="00BF4998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b) Proponha questões que avaliem aspectos importantes, empregando uma linguagem direta e precisa. A redação defeituosa do item desorienta o aluno e estimula a digressão; a ausência de ambiguidades facilita, ao mesmo tempo, a organização da resposta do aluno e a correção pelo professor. </w:t>
      </w:r>
    </w:p>
    <w:p w14:paraId="52D1F592" w14:textId="77777777" w:rsidR="00397C63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c) Formule itens independentes entre si para evitar que o aluno, ao errar uma questão, já tenha comprometido o acerto de outra. É comum encontrarem-se provas que reúnem várias questões avaliando o mesmo conteúdo em detrimento de outros. </w:t>
      </w:r>
    </w:p>
    <w:p w14:paraId="5BC6C4DE" w14:textId="77777777" w:rsidR="00FB53BC" w:rsidRPr="00BF4998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d) Apresente questões que demandam competências e habilidades já apropriadas pelo aluno em atividades de aprendizagem anteriores. Evite incluir fatores estranhos ao momento de avaliação. </w:t>
      </w:r>
    </w:p>
    <w:p w14:paraId="737B68E3" w14:textId="77777777" w:rsidR="00397C63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e) Corrija de uma única vez a mesma questão de cada aluno. Os critérios ficarão mais evidentes ao professor e a correção será mais rápida. </w:t>
      </w:r>
    </w:p>
    <w:p w14:paraId="6073D069" w14:textId="77777777" w:rsidR="00FB53BC" w:rsidRPr="00BF4998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f) Avalie as respostas dos alunos em consonância com o objetivo pretendido. Fluência verbal, aparência da prova, ou mesmo erros de português são aspectos externos à avaliação do conteúdo que podem ou não ser corrigidos. Os erros devem ser assinalados para que o aluno os identifique. </w:t>
      </w:r>
    </w:p>
    <w:p w14:paraId="560F4767" w14:textId="77777777" w:rsidR="00397C63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g) Certifique-se sobre o significado preciso da ação que está sendo solicitada ao aluno. Citar, por exemplo, não é o mesmo que explicar ou descrever. O aluno não é obrigado a responder além do que consta na instrução, e o professor não pode exigir além do que solicitou. </w:t>
      </w:r>
    </w:p>
    <w:p w14:paraId="23330C8B" w14:textId="77777777" w:rsidR="00FB53BC" w:rsidRPr="00BF4998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h) Entregue os resultados em tempo hábil, enquanto o aluno ainda tem tempo e possibilidade para reorientar sua atividade e aprender o que demonstrou não haver aprendido. Passado muito tempo, outras aprendizagens deixam de ocorrer, e a lacuna que se estabelece aumenta a possibilidade de insucesso do aluno. </w:t>
      </w:r>
    </w:p>
    <w:p w14:paraId="7874E6F7" w14:textId="77777777" w:rsidR="00FB53BC" w:rsidRPr="00BF4998" w:rsidRDefault="00FB53BC" w:rsidP="001B2D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imes"/>
        </w:rPr>
      </w:pPr>
      <w:r w:rsidRPr="00BF4998">
        <w:rPr>
          <w:rFonts w:ascii="Cambria" w:hAnsi="Cambria" w:cs="Times"/>
        </w:rPr>
        <w:t xml:space="preserve"> </w:t>
      </w:r>
    </w:p>
    <w:p w14:paraId="37CD93F5" w14:textId="77777777" w:rsidR="00FB53BC" w:rsidRPr="00BF4998" w:rsidRDefault="00FB53BC" w:rsidP="001B2D0A">
      <w:pPr>
        <w:widowControl w:val="0"/>
        <w:autoSpaceDE w:val="0"/>
        <w:autoSpaceDN w:val="0"/>
        <w:adjustRightInd w:val="0"/>
        <w:spacing w:after="240" w:line="276" w:lineRule="auto"/>
        <w:ind w:firstLine="72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Essas recomendações confirmam que a facilidade na preparação e mesmo no uso das questões de resposta livre é ilusória. Esse tipo de questão exige precisão de significado e clareza de critérios, sendo recomendado para avaliar o desenvolvimento da habilidade de expressão, de argumentação e de tomada de posição do aluno frente a questões polêmicas ou divergentes. </w:t>
      </w:r>
    </w:p>
    <w:p w14:paraId="64B1EC27" w14:textId="77777777" w:rsidR="00397C63" w:rsidRDefault="00397C63" w:rsidP="001B2D0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mbria" w:hAnsi="Cambria" w:cs="Calibri"/>
          <w:b/>
          <w:bCs/>
        </w:rPr>
      </w:pPr>
    </w:p>
    <w:p w14:paraId="18BD7F51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38CA1686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3BCEF330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0D54507B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76A04291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7D26A43E" w14:textId="77777777" w:rsidR="00175299" w:rsidRDefault="00175299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4E77CA32" w14:textId="77777777" w:rsidR="00FB53BC" w:rsidRPr="00BF4998" w:rsidRDefault="00FB53BC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Times"/>
        </w:rPr>
      </w:pPr>
      <w:r w:rsidRPr="00BF4998">
        <w:rPr>
          <w:rFonts w:ascii="Cambria" w:hAnsi="Cambria" w:cs="Calibri"/>
          <w:b/>
          <w:bCs/>
        </w:rPr>
        <w:t>FINALIDADES E CARACTERÍSTICAS DAS PROVAS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5219"/>
        <w:gridCol w:w="5195"/>
      </w:tblGrid>
      <w:tr w:rsidR="00FB53BC" w:rsidRPr="00BF4998" w14:paraId="366C7791" w14:textId="77777777" w:rsidTr="00FB53BC"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4BAC0" w14:textId="77777777" w:rsidR="00FB53BC" w:rsidRPr="00BF4998" w:rsidRDefault="00FB53BC" w:rsidP="00FB53B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  <w:b/>
                <w:bCs/>
              </w:rPr>
              <w:t xml:space="preserve">PROVAS DISSERTATIVAS 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CD48BE" w14:textId="77777777" w:rsidR="00FB53BC" w:rsidRPr="00BF4998" w:rsidRDefault="00FB53BC" w:rsidP="00FB53B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  <w:b/>
                <w:bCs/>
              </w:rPr>
              <w:t xml:space="preserve">PROVAS OBJETIVAS </w:t>
            </w:r>
          </w:p>
        </w:tc>
      </w:tr>
      <w:tr w:rsidR="00FB53BC" w:rsidRPr="00BF4998" w14:paraId="12D163C3" w14:textId="77777777" w:rsidTr="00FB53BC">
        <w:tblPrEx>
          <w:tblBorders>
            <w:top w:val="none" w:sz="0" w:space="0" w:color="auto"/>
          </w:tblBorders>
        </w:tblPrEx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33C7A5" w14:textId="77777777" w:rsidR="00FB53BC" w:rsidRPr="00BF4998" w:rsidRDefault="00FB53BC" w:rsidP="00FB53B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São úteis para avaliar as habilidades de raciocínio de nível mais alto (análise, síntese e avaliação), mas demandam tempo para correção. Oportunizam o aprofundamento de conteúdos e habilidades. 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7EFA35" w14:textId="77777777" w:rsidR="00FB53BC" w:rsidRPr="00BF4998" w:rsidRDefault="00FB53BC" w:rsidP="00FB53B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Quando bem elaboradas e aplicadas, contribuem para o processo de aprendizagem. Apesar de seus limites, permitem: julgamento imparcial, rápida correção, imediato feedback ao aluno, abrangência do conteúdo, verificação das dificuldades do aluno e avaliação da prática docente. </w:t>
            </w:r>
          </w:p>
          <w:p w14:paraId="35518112" w14:textId="77777777" w:rsidR="00FB53BC" w:rsidRPr="00BF4998" w:rsidRDefault="00FB53BC" w:rsidP="00FB53B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Modalidades: Questões de múltipla escolha, de lacuna, de verdadeiro/falso, combinação ou correlação (associação), ordenação, complemento. </w:t>
            </w:r>
          </w:p>
        </w:tc>
      </w:tr>
      <w:tr w:rsidR="00FB53BC" w:rsidRPr="00BF4998" w14:paraId="1F81080B" w14:textId="77777777" w:rsidTr="00FB53BC">
        <w:trPr>
          <w:trHeight w:val="3013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ECE99D" w14:textId="77777777" w:rsidR="00FB53BC" w:rsidRPr="00BF4998" w:rsidRDefault="00FB53BC" w:rsidP="00FB53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Avaliam: </w:t>
            </w:r>
          </w:p>
          <w:p w14:paraId="6CCAE13B" w14:textId="77777777" w:rsidR="00FB53BC" w:rsidRPr="00BF4998" w:rsidRDefault="00FB53BC" w:rsidP="00FB53B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Conhecimentos </w:t>
            </w:r>
            <w:r w:rsidRPr="00BF4998">
              <w:rPr>
                <w:rFonts w:ascii="Cambria" w:hAnsi="Cambria" w:cs="Times"/>
              </w:rPr>
              <w:t> </w:t>
            </w:r>
          </w:p>
          <w:p w14:paraId="3E2F934A" w14:textId="77777777" w:rsidR="00FB53BC" w:rsidRPr="00BF4998" w:rsidRDefault="00FB53BC" w:rsidP="00FB53B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A lógica nos processos mentais </w:t>
            </w:r>
            <w:r w:rsidRPr="00BF4998">
              <w:rPr>
                <w:rFonts w:ascii="Cambria" w:hAnsi="Cambria" w:cs="Times"/>
              </w:rPr>
              <w:t> </w:t>
            </w:r>
          </w:p>
          <w:p w14:paraId="4232454A" w14:textId="77777777" w:rsidR="00FB53BC" w:rsidRPr="00BF4998" w:rsidRDefault="00FB53BC" w:rsidP="00FB53B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A justificação de opiniões </w:t>
            </w:r>
            <w:r w:rsidRPr="00BF4998">
              <w:rPr>
                <w:rFonts w:ascii="Cambria" w:hAnsi="Cambria" w:cs="Times"/>
              </w:rPr>
              <w:t> </w:t>
            </w:r>
          </w:p>
          <w:p w14:paraId="1D9905B2" w14:textId="77777777" w:rsidR="00FB53BC" w:rsidRPr="00BF4998" w:rsidRDefault="00FB53BC" w:rsidP="00FB53B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Organização de ideias </w:t>
            </w:r>
            <w:r w:rsidRPr="00BF4998">
              <w:rPr>
                <w:rFonts w:ascii="Cambria" w:hAnsi="Cambria" w:cs="Times"/>
              </w:rPr>
              <w:t> </w:t>
            </w:r>
          </w:p>
          <w:p w14:paraId="127C4107" w14:textId="77777777" w:rsidR="00FB53BC" w:rsidRPr="00BF4998" w:rsidRDefault="00FB53BC" w:rsidP="00FB53B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Clareza de expressão </w:t>
            </w:r>
            <w:r w:rsidRPr="00BF4998">
              <w:rPr>
                <w:rFonts w:ascii="Cambria" w:hAnsi="Cambria" w:cs="Times"/>
              </w:rPr>
              <w:t> </w:t>
            </w:r>
          </w:p>
          <w:p w14:paraId="43D76855" w14:textId="77777777" w:rsidR="00FB53BC" w:rsidRPr="00BF4998" w:rsidRDefault="00FB53BC" w:rsidP="00FB53B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Soluções criativas </w:t>
            </w:r>
            <w:r w:rsidRPr="00BF4998">
              <w:rPr>
                <w:rFonts w:ascii="Cambria" w:hAnsi="Cambria" w:cs="Times"/>
              </w:rPr>
              <w:t> </w:t>
            </w:r>
          </w:p>
          <w:p w14:paraId="39CA66F6" w14:textId="77777777" w:rsidR="00FB53BC" w:rsidRPr="00BF4998" w:rsidRDefault="00FB53BC" w:rsidP="00FB53B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14" w:hanging="357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Preferências </w:t>
            </w:r>
            <w:r w:rsidRPr="00BF4998">
              <w:rPr>
                <w:rFonts w:ascii="Cambria" w:hAnsi="Cambria" w:cs="Times"/>
              </w:rPr>
              <w:t> 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4DCBC4B" w14:textId="77777777" w:rsidR="00FB53BC" w:rsidRPr="00BF4998" w:rsidRDefault="00FB53BC" w:rsidP="00FB53B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Calibri"/>
              </w:rPr>
            </w:pPr>
            <w:r w:rsidRPr="00BF4998">
              <w:rPr>
                <w:rFonts w:ascii="Cambria" w:hAnsi="Cambria" w:cs="Calibri"/>
              </w:rPr>
              <w:t>Avaliam:</w:t>
            </w:r>
          </w:p>
          <w:p w14:paraId="43304351" w14:textId="77777777" w:rsidR="00FB53BC" w:rsidRPr="00BF4998" w:rsidRDefault="00FB53BC" w:rsidP="00FB53B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>Conhecimentos </w:t>
            </w:r>
          </w:p>
          <w:p w14:paraId="2D934B80" w14:textId="77777777" w:rsidR="00FB53BC" w:rsidRPr="00BF4998" w:rsidRDefault="00FB53BC" w:rsidP="00FB53B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>Identificação de causa e efeito</w:t>
            </w:r>
          </w:p>
          <w:p w14:paraId="06C43583" w14:textId="77777777" w:rsidR="00FB53BC" w:rsidRPr="00BF4998" w:rsidRDefault="00FB53BC" w:rsidP="00FB53B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>Conhecimento de fatos específicos (factual) e os comportamentos de compreensão (falso-verdadeiro)</w:t>
            </w:r>
          </w:p>
          <w:p w14:paraId="3045850F" w14:textId="77777777" w:rsidR="00FB53BC" w:rsidRPr="00BF4998" w:rsidRDefault="00FB53BC" w:rsidP="00FB53B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>Conhecimentos (múltipla escolha)</w:t>
            </w:r>
          </w:p>
          <w:p w14:paraId="760E5934" w14:textId="77777777" w:rsidR="00FB53BC" w:rsidRPr="00BF4998" w:rsidRDefault="00FB53BC" w:rsidP="00FB53BC">
            <w:pPr>
              <w:pStyle w:val="Pargrafoda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40"/>
              <w:jc w:val="both"/>
              <w:rPr>
                <w:rFonts w:ascii="Cambria" w:hAnsi="Cambria" w:cs="Times"/>
              </w:rPr>
            </w:pPr>
            <w:r w:rsidRPr="00BF4998">
              <w:rPr>
                <w:rFonts w:ascii="Cambria" w:hAnsi="Cambria" w:cs="Calibri"/>
              </w:rPr>
              <w:t xml:space="preserve">Conhecimento e habilidades intelectuais (análise de relações) </w:t>
            </w:r>
          </w:p>
        </w:tc>
      </w:tr>
    </w:tbl>
    <w:p w14:paraId="341E540E" w14:textId="77777777" w:rsidR="00FB53BC" w:rsidRPr="00BF4998" w:rsidRDefault="00FB53BC" w:rsidP="00FB53BC">
      <w:pPr>
        <w:widowControl w:val="0"/>
        <w:autoSpaceDE w:val="0"/>
        <w:autoSpaceDN w:val="0"/>
        <w:adjustRightInd w:val="0"/>
        <w:spacing w:after="240"/>
        <w:jc w:val="both"/>
        <w:rPr>
          <w:rFonts w:ascii="Cambria" w:hAnsi="Cambria" w:cs="Calibri"/>
          <w:b/>
          <w:bCs/>
        </w:rPr>
      </w:pPr>
    </w:p>
    <w:p w14:paraId="0A8B708F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2269DEC4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5293BD40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08D014FF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31C23ED3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03F0E35F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4B4F6843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405FA762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30A53AA9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4DC839FD" w14:textId="77777777" w:rsidR="00397C63" w:rsidRDefault="00397C63" w:rsidP="00BF4998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Calibri"/>
          <w:b/>
          <w:bCs/>
        </w:rPr>
      </w:pPr>
    </w:p>
    <w:p w14:paraId="15657B86" w14:textId="77777777" w:rsidR="00397C63" w:rsidRDefault="00397C63" w:rsidP="00175299">
      <w:pPr>
        <w:widowControl w:val="0"/>
        <w:autoSpaceDE w:val="0"/>
        <w:autoSpaceDN w:val="0"/>
        <w:adjustRightInd w:val="0"/>
        <w:spacing w:after="240"/>
        <w:rPr>
          <w:rFonts w:ascii="Cambria" w:hAnsi="Cambria" w:cs="Calibri"/>
          <w:b/>
          <w:bCs/>
        </w:rPr>
      </w:pPr>
    </w:p>
    <w:p w14:paraId="0EBCD06B" w14:textId="77777777" w:rsidR="008D00A3" w:rsidRPr="00BF4998" w:rsidRDefault="008D00A3" w:rsidP="008D00A3">
      <w:pPr>
        <w:widowControl w:val="0"/>
        <w:autoSpaceDE w:val="0"/>
        <w:autoSpaceDN w:val="0"/>
        <w:adjustRightInd w:val="0"/>
        <w:spacing w:after="240"/>
        <w:jc w:val="center"/>
        <w:rPr>
          <w:rFonts w:ascii="Cambria" w:hAnsi="Cambria" w:cs="Times"/>
        </w:rPr>
      </w:pPr>
      <w:r w:rsidRPr="00BF4998">
        <w:rPr>
          <w:rFonts w:ascii="Cambria" w:hAnsi="Cambria" w:cs="Calibri"/>
          <w:b/>
          <w:bCs/>
        </w:rPr>
        <w:lastRenderedPageBreak/>
        <w:t>ORIENTAÇÕES PARA ELABORAÇÃO DE QUESTÕES</w:t>
      </w:r>
      <w:r>
        <w:rPr>
          <w:rFonts w:ascii="Cambria" w:hAnsi="Cambria" w:cs="Calibri"/>
          <w:b/>
          <w:bCs/>
        </w:rPr>
        <w:t xml:space="preserve"> </w:t>
      </w:r>
      <w:r w:rsidRPr="00BF4998">
        <w:rPr>
          <w:rFonts w:ascii="Cambria" w:hAnsi="Cambria" w:cs="Calibri"/>
          <w:b/>
          <w:bCs/>
        </w:rPr>
        <w:t>DISSERTATIVAS</w:t>
      </w:r>
    </w:p>
    <w:p w14:paraId="7A2A9F3F" w14:textId="77777777" w:rsidR="00F959A1" w:rsidRDefault="00F959A1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bookmarkStart w:id="0" w:name="_GoBack"/>
      <w:bookmarkEnd w:id="0"/>
    </w:p>
    <w:p w14:paraId="07C62F02" w14:textId="027FC163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1. Selecione tópicos e habilidades importantes enfatizados durante a instrução, sendo apresentadas de forma clara e objetiva. </w:t>
      </w:r>
    </w:p>
    <w:p w14:paraId="590603D7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 xml:space="preserve">2. Planeje com antecedência, formulando questões que estimulem a capacidade reflexiva, a leitura e a escrita com argumentação. </w:t>
      </w:r>
    </w:p>
    <w:p w14:paraId="56CE3E13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 xml:space="preserve">3. Aborde aspectos realmente relevantes do conteúdo que reflitam os objetivos estabelecidos. </w:t>
      </w:r>
    </w:p>
    <w:p w14:paraId="4130391E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4. Apresente a questão bem definida, limitada e específica. </w:t>
      </w:r>
    </w:p>
    <w:p w14:paraId="720C020C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5. Explicite claramente a abrangência da resposta e os aspectos a serem abordados. </w:t>
      </w:r>
    </w:p>
    <w:p w14:paraId="51B77182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6. Proponha questões operatórias (que exigem operações mentais mais ou menos complexas e não apenas </w:t>
      </w:r>
      <w:proofErr w:type="spellStart"/>
      <w:r w:rsidRPr="00BF4998">
        <w:rPr>
          <w:rFonts w:ascii="Cambria" w:hAnsi="Cambria" w:cs="Calibri"/>
        </w:rPr>
        <w:t>transcritórias</w:t>
      </w:r>
      <w:proofErr w:type="spellEnd"/>
      <w:r w:rsidRPr="00BF4998">
        <w:rPr>
          <w:rFonts w:ascii="Cambria" w:hAnsi="Cambria" w:cs="Calibri"/>
        </w:rPr>
        <w:t xml:space="preserve"> (Simples transcrição de informações). </w:t>
      </w:r>
    </w:p>
    <w:p w14:paraId="058A587B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7. Use uma linguagem que permita a mesma interpretação por todos. </w:t>
      </w:r>
    </w:p>
    <w:p w14:paraId="27710867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8. Monte itens independentes entre si de modo que a não-resolução de uma questão não comprometa as demais. </w:t>
      </w:r>
    </w:p>
    <w:p w14:paraId="365C2738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9. Elabore questões com o mesmo nível e dificuldade dos conteúdos ensinados, nem mais fácil nem mais difícil. </w:t>
      </w:r>
    </w:p>
    <w:p w14:paraId="085953FB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 xml:space="preserve">10. Empregue as mesmas perspectivas metodológicas usadas no ensino dos conteúdos </w:t>
      </w:r>
    </w:p>
    <w:p w14:paraId="65F78658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11. Formule questões de acordo com o tempo disponível, com a experiência e capacidade dos respondentes. </w:t>
      </w:r>
    </w:p>
    <w:p w14:paraId="63E9C6B7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12. Evite questões que admitem como resposta apenas um “sim” ou “não”. </w:t>
      </w:r>
    </w:p>
    <w:p w14:paraId="1A795823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13. Evite enunciados “abertos” (palavras de comando sem precisão de sentido no contexto) como: </w:t>
      </w:r>
      <w:r w:rsidRPr="00BF4998">
        <w:rPr>
          <w:rFonts w:ascii="Cambria" w:hAnsi="Cambria" w:cs="Calibri"/>
          <w:i/>
          <w:iCs/>
        </w:rPr>
        <w:t xml:space="preserve">qual a sua opinião, você acha que, comente, discorra, conceitue você, como você justifica, o que você sabe sobre, quais, caracterize, explique o que você sabe </w:t>
      </w:r>
    </w:p>
    <w:p w14:paraId="3C3701A5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 xml:space="preserve">14. Evite questões que necessitem de uma grande quantidade de memorização. </w:t>
      </w:r>
    </w:p>
    <w:p w14:paraId="2546E2FF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 xml:space="preserve">15. Evite o uso de elementos figurativos que demandam tempo para serem analisados e não ajudam na compreensão da questão. O texto deve servir de contexto e não de pretexto. </w:t>
      </w:r>
    </w:p>
    <w:p w14:paraId="2B7F1220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16. Utilize um exemplo novo (diferente do trabalhado em sala de aula), se for necessário exemplificar. </w:t>
      </w:r>
    </w:p>
    <w:p w14:paraId="44E72606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17. Estabeleça previamente a resposta esperada, identificando as partes essenciais, além de prever diferentes alternativas de respostas consideradas certas. </w:t>
      </w:r>
    </w:p>
    <w:p w14:paraId="72AA8A32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18. Elabore previamente os critérios de correção especificando os elementos mais importantes e o valor de cada elemento. Indicação clara e precisa dos critérios de correção: </w:t>
      </w:r>
      <w:r w:rsidRPr="00BF4998">
        <w:rPr>
          <w:rFonts w:ascii="Cambria" w:hAnsi="Cambria" w:cs="Calibri"/>
          <w:i/>
          <w:iCs/>
        </w:rPr>
        <w:t xml:space="preserve">parametrização. </w:t>
      </w:r>
    </w:p>
    <w:p w14:paraId="13848E16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19. Leia as respostas sem identificar o autor para não se deixar influenciar por predisposições. </w:t>
      </w:r>
    </w:p>
    <w:p w14:paraId="5F4BA773" w14:textId="77777777" w:rsidR="00397C63" w:rsidRP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20. Escreva, se possível, um pequeno comentário em cada prova corrigida visando orientar a aprendizagem. </w:t>
      </w:r>
    </w:p>
    <w:p w14:paraId="2E275980" w14:textId="77777777" w:rsidR="00F959A1" w:rsidRDefault="00F959A1">
      <w:pPr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br w:type="page"/>
      </w:r>
    </w:p>
    <w:p w14:paraId="7463CF39" w14:textId="3A492257" w:rsidR="00E637B3" w:rsidRDefault="00F959A1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center"/>
        <w:rPr>
          <w:rFonts w:ascii="Cambria" w:hAnsi="Cambria" w:cs="Calibri"/>
          <w:b/>
          <w:bCs/>
        </w:rPr>
      </w:pPr>
      <w:r w:rsidRPr="00BF4998">
        <w:rPr>
          <w:rFonts w:ascii="Cambria" w:hAnsi="Cambria" w:cs="Calibri"/>
          <w:b/>
          <w:bCs/>
        </w:rPr>
        <w:lastRenderedPageBreak/>
        <w:t>ORIENTA</w:t>
      </w:r>
      <w:r>
        <w:rPr>
          <w:rFonts w:ascii="Cambria" w:hAnsi="Cambria" w:cs="Calibri"/>
          <w:b/>
          <w:bCs/>
        </w:rPr>
        <w:t xml:space="preserve">ÇÕES PARA ELABORAÇÃO DE </w:t>
      </w:r>
      <w:r w:rsidR="00E637B3" w:rsidRPr="00BF4998">
        <w:rPr>
          <w:rFonts w:ascii="Cambria" w:hAnsi="Cambria" w:cs="Calibri"/>
          <w:b/>
          <w:bCs/>
        </w:rPr>
        <w:t>QUESTÕES OBJETIVAS</w:t>
      </w:r>
    </w:p>
    <w:p w14:paraId="22B72A7D" w14:textId="77777777" w:rsidR="00F959A1" w:rsidRPr="00BF4998" w:rsidRDefault="00F959A1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center"/>
        <w:rPr>
          <w:rFonts w:ascii="Cambria" w:hAnsi="Cambria" w:cs="Times"/>
        </w:rPr>
      </w:pPr>
    </w:p>
    <w:p w14:paraId="3411C5DA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  <w:b/>
          <w:bCs/>
        </w:rPr>
        <w:t xml:space="preserve">1. Questões de lacuna </w:t>
      </w:r>
    </w:p>
    <w:p w14:paraId="28E017AF" w14:textId="77777777" w:rsidR="00BC09B9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a) Formule a questão de forma que cada espaço em branco só admita uma resposta correta. </w:t>
      </w:r>
    </w:p>
    <w:p w14:paraId="37F96619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b) Inclua lacunas de mesmo tamanho. </w:t>
      </w:r>
    </w:p>
    <w:p w14:paraId="75CE9888" w14:textId="77777777" w:rsidR="00BC09B9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c) Evite dar pistas sobre a resposta, inclusive sobre o uso de feminino ou masculino. </w:t>
      </w:r>
    </w:p>
    <w:p w14:paraId="11BE963D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d) Deixe a lacuna preferencialmente para o fim da questão, de modo a “encaminhar o pensamento”. </w:t>
      </w:r>
    </w:p>
    <w:p w14:paraId="57966D50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>e)</w:t>
      </w:r>
      <w:r w:rsidR="00BC09B9" w:rsidRPr="00BF4998">
        <w:rPr>
          <w:rFonts w:ascii="Cambria" w:hAnsi="Cambria" w:cs="Calibri"/>
        </w:rPr>
        <w:t xml:space="preserve"> </w:t>
      </w:r>
      <w:r w:rsidRPr="00BF4998">
        <w:rPr>
          <w:rFonts w:ascii="Cambria" w:hAnsi="Cambria" w:cs="Calibri"/>
        </w:rPr>
        <w:t xml:space="preserve">Observe que lacunas devem corresponder aos elementos mais importantes e não a minúcias ou palavras sem significação especial. </w:t>
      </w:r>
    </w:p>
    <w:p w14:paraId="40EC7705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  <w:b/>
          <w:bCs/>
        </w:rPr>
        <w:t xml:space="preserve">2. Questões de verdadeiro/falso </w:t>
      </w:r>
    </w:p>
    <w:p w14:paraId="4A9ED64E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a) Elabore cada item de forma a incluir apenas uma ideia, claramente verdadeiras ou falsas. </w:t>
      </w:r>
    </w:p>
    <w:p w14:paraId="4A903FDC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b) Apresente uma proposição que seja inteiramente certa ou inteiramente errada. </w:t>
      </w:r>
    </w:p>
    <w:p w14:paraId="1AEEA661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c) Redija frases simples e curtas e em ordem direta. </w:t>
      </w:r>
    </w:p>
    <w:p w14:paraId="50718757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d) Não use frases longas ou rebuscadas e em padrão repetitivo. </w:t>
      </w:r>
    </w:p>
    <w:p w14:paraId="2E6205F9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e) Evite o uso de termos absolutos como </w:t>
      </w:r>
      <w:r w:rsidRPr="00BF4998">
        <w:rPr>
          <w:rFonts w:ascii="Cambria" w:hAnsi="Cambria" w:cs="Calibri"/>
          <w:i/>
          <w:iCs/>
        </w:rPr>
        <w:t>sempre, nunca, todos, somente</w:t>
      </w:r>
      <w:r w:rsidRPr="00BF4998">
        <w:rPr>
          <w:rFonts w:ascii="Cambria" w:hAnsi="Cambria" w:cs="Calibri"/>
        </w:rPr>
        <w:t xml:space="preserve">... e expressões como </w:t>
      </w:r>
      <w:r w:rsidRPr="00BF4998">
        <w:rPr>
          <w:rFonts w:ascii="Cambria" w:hAnsi="Cambria" w:cs="Calibri"/>
          <w:i/>
          <w:iCs/>
        </w:rPr>
        <w:t>alguns, poucos, às vezes, talvez</w:t>
      </w:r>
      <w:r w:rsidRPr="00BF4998">
        <w:rPr>
          <w:rFonts w:ascii="Cambria" w:hAnsi="Cambria" w:cs="Calibri"/>
        </w:rPr>
        <w:t xml:space="preserve">... </w:t>
      </w:r>
    </w:p>
    <w:p w14:paraId="018BF47B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f) Apresente respostas certas e erradas em quantidade proporcional e com tamanho semelhante (em geral as corretas são mais longas). </w:t>
      </w:r>
    </w:p>
    <w:p w14:paraId="712ED00C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  <w:b/>
          <w:bCs/>
        </w:rPr>
      </w:pPr>
      <w:r w:rsidRPr="00BF4998">
        <w:rPr>
          <w:rFonts w:ascii="Cambria" w:hAnsi="Cambria" w:cs="Calibri"/>
          <w:b/>
          <w:bCs/>
        </w:rPr>
        <w:t>3. Questões de combinação ou correlação </w:t>
      </w:r>
    </w:p>
    <w:p w14:paraId="2BF05380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a) Observe que as questões devem ser completas; informe a forma de combinação e tenha clareza nas orientações. </w:t>
      </w:r>
    </w:p>
    <w:p w14:paraId="3DC00D2C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b) Lembre que o conteúdo de cada conjunto de itens deve pertencer à mesma categoria. </w:t>
      </w:r>
    </w:p>
    <w:p w14:paraId="0BC62941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c) Numere um dos conjuntos de itens e marque o outro com letras. </w:t>
      </w:r>
    </w:p>
    <w:p w14:paraId="4C29550A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d) Observe que uma das colunas deve ter um número maior de itens. </w:t>
      </w:r>
    </w:p>
    <w:p w14:paraId="68B043D6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e) Verifique que os enunciados mais longos devem ser colocados, preferencialmente, na coluna da esquerda. </w:t>
      </w:r>
    </w:p>
    <w:p w14:paraId="4D275576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f) Construa, no máximo, 10 itens por conjunto. </w:t>
      </w:r>
    </w:p>
    <w:p w14:paraId="79067F35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  <w:b/>
          <w:bCs/>
        </w:rPr>
        <w:t xml:space="preserve">4. Questões de múltipla escolha </w:t>
      </w:r>
    </w:p>
    <w:p w14:paraId="094B1150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a) Coloque cada questão da prova em uma linha diferente. </w:t>
      </w:r>
    </w:p>
    <w:p w14:paraId="1FE3E3AF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 xml:space="preserve">b) Elabore enunciados claros, de forma que possa ser compreendido e não adivinhado. </w:t>
      </w:r>
    </w:p>
    <w:p w14:paraId="04A27E34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c) Contextualize as questões e observe que as mesmas demandem leitura, compreensão e raciocínio. </w:t>
      </w:r>
    </w:p>
    <w:p w14:paraId="68D04B42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d) Elimine palavras desnecessárias. Se usar a palavra “não”, destaque-a em negrito ou sublinhado. </w:t>
      </w:r>
    </w:p>
    <w:p w14:paraId="19E40FED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e) Não forneça indicações óbvias da resposta certa. </w:t>
      </w:r>
    </w:p>
    <w:p w14:paraId="5D43AE9E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f) Crie pelo menos três alternativas e torne-as gramaticalmente ajustadas à pergunta. </w:t>
      </w:r>
    </w:p>
    <w:p w14:paraId="088ED418" w14:textId="77777777" w:rsidR="00175299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>g) Distribua com critério em qual item/letra estará a resposta correta (+ usadas alternativas b e c).</w:t>
      </w:r>
    </w:p>
    <w:p w14:paraId="6A6B5763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h) Elabore alternativas de mesmo tamanho, evitando que a correta seja a maior. </w:t>
      </w:r>
    </w:p>
    <w:p w14:paraId="3304536C" w14:textId="77777777" w:rsidR="00E637B3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Times"/>
        </w:rPr>
      </w:pPr>
      <w:r w:rsidRPr="00BF4998">
        <w:rPr>
          <w:rFonts w:ascii="Cambria" w:hAnsi="Cambria" w:cs="Calibri"/>
        </w:rPr>
        <w:t xml:space="preserve">i) Encadeie as questões numa mesma sequência de raciocínio. </w:t>
      </w:r>
    </w:p>
    <w:p w14:paraId="480123A3" w14:textId="77777777" w:rsidR="00BC09B9" w:rsidRPr="00BF4998" w:rsidRDefault="00E637B3" w:rsidP="00F959A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</w:rPr>
        <w:t xml:space="preserve">j) Ofereça várias opções para o respondente selecionar o enunciado mais adequado. </w:t>
      </w:r>
    </w:p>
    <w:p w14:paraId="6EC0F00A" w14:textId="77777777" w:rsidR="00BC09B9" w:rsidRPr="00BF4998" w:rsidRDefault="00BC09B9" w:rsidP="00BC09B9">
      <w:pPr>
        <w:rPr>
          <w:rFonts w:ascii="Cambria" w:hAnsi="Cambria" w:cs="Calibri"/>
        </w:rPr>
      </w:pPr>
    </w:p>
    <w:p w14:paraId="653C3EA8" w14:textId="77777777" w:rsidR="00F959A1" w:rsidRDefault="00F959A1">
      <w:pPr>
        <w:rPr>
          <w:rFonts w:ascii="Cambria" w:hAnsi="Cambria" w:cs="Calibri"/>
          <w:b/>
          <w:bCs/>
          <w:color w:val="000000"/>
          <w:lang w:val="en-US"/>
        </w:rPr>
      </w:pPr>
      <w:r>
        <w:rPr>
          <w:rFonts w:ascii="Cambria" w:hAnsi="Cambria" w:cs="Calibri"/>
          <w:b/>
          <w:bCs/>
          <w:color w:val="000000"/>
          <w:lang w:val="en-US"/>
        </w:rPr>
        <w:br w:type="page"/>
      </w:r>
    </w:p>
    <w:p w14:paraId="7AC5A8F0" w14:textId="36A14E0E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libri"/>
          <w:b/>
          <w:bCs/>
          <w:color w:val="000000"/>
          <w:lang w:val="en-US"/>
        </w:rPr>
      </w:pPr>
      <w:r w:rsidRPr="00BF4998">
        <w:rPr>
          <w:rFonts w:ascii="Cambria" w:hAnsi="Cambria" w:cs="Calibri"/>
          <w:b/>
          <w:bCs/>
          <w:color w:val="000000"/>
          <w:lang w:val="en-US"/>
        </w:rPr>
        <w:lastRenderedPageBreak/>
        <w:t>BIBLIOGRAFIA RECOMENDADA</w:t>
      </w:r>
    </w:p>
    <w:p w14:paraId="0BEF0264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lang w:val="en-US"/>
        </w:rPr>
      </w:pPr>
    </w:p>
    <w:p w14:paraId="6B3B6BE6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Helvetica"/>
        </w:rPr>
      </w:pPr>
      <w:r w:rsidRPr="00BF4998">
        <w:rPr>
          <w:rFonts w:ascii="Cambria" w:hAnsi="Cambria" w:cs="Calibri"/>
          <w:color w:val="000000"/>
        </w:rPr>
        <w:t>FERRAZ, Ana Paula C. M.; BELHOT, Renato V. Taxonomia de Bloom: revisão teórica e apresentação</w:t>
      </w:r>
    </w:p>
    <w:p w14:paraId="61A751E3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 xml:space="preserve">das adequações do instrumento para definição de objetivos instrucionais. </w:t>
      </w:r>
      <w:proofErr w:type="spellStart"/>
      <w:r w:rsidRPr="00BF4998">
        <w:rPr>
          <w:rFonts w:ascii="Cambria" w:hAnsi="Cambria" w:cs="Calibri"/>
          <w:b/>
          <w:bCs/>
          <w:color w:val="000000"/>
        </w:rPr>
        <w:t>Gest</w:t>
      </w:r>
      <w:proofErr w:type="spellEnd"/>
      <w:r w:rsidRPr="00BF4998">
        <w:rPr>
          <w:rFonts w:ascii="Cambria" w:hAnsi="Cambria" w:cs="Calibri"/>
          <w:b/>
          <w:bCs/>
          <w:color w:val="000000"/>
        </w:rPr>
        <w:t xml:space="preserve">. Prod., </w:t>
      </w:r>
      <w:r w:rsidRPr="00BF4998">
        <w:rPr>
          <w:rFonts w:ascii="Cambria" w:hAnsi="Cambria" w:cs="Calibri"/>
          <w:color w:val="000000"/>
        </w:rPr>
        <w:t>São Carlos, v. 17, n. 2, p. 421-431, 2010.</w:t>
      </w:r>
    </w:p>
    <w:p w14:paraId="6AFD4AB4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 xml:space="preserve">GESSINGER, Rosana M. GRILLO, Marlene C. FREITAS, Ana Lúcia S. Critérios de Avaliação a serviço da aprendizagem. In: _______. </w:t>
      </w:r>
      <w:r w:rsidRPr="00BF4998">
        <w:rPr>
          <w:rFonts w:ascii="Cambria" w:hAnsi="Cambria" w:cs="Calibri"/>
          <w:b/>
          <w:bCs/>
          <w:color w:val="000000"/>
        </w:rPr>
        <w:t xml:space="preserve">Por que falar ainda em avaliação? </w:t>
      </w:r>
      <w:r w:rsidRPr="00BF4998">
        <w:rPr>
          <w:rFonts w:ascii="Cambria" w:hAnsi="Cambria" w:cs="Calibri"/>
          <w:color w:val="000000"/>
        </w:rPr>
        <w:t>pp.35-43. Porto Alegre: EDIPUCRS, 2010. Disponível em: &lt;http://www.pucrs.br/orgaos/edipucrs/&gt;.</w:t>
      </w:r>
    </w:p>
    <w:p w14:paraId="1227C20C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 xml:space="preserve">GIL, </w:t>
      </w:r>
      <w:proofErr w:type="spellStart"/>
      <w:r w:rsidRPr="00BF4998">
        <w:rPr>
          <w:rFonts w:ascii="Cambria" w:hAnsi="Cambria" w:cs="Calibri"/>
          <w:color w:val="000000"/>
        </w:rPr>
        <w:t>Antonio</w:t>
      </w:r>
      <w:proofErr w:type="spellEnd"/>
      <w:r w:rsidRPr="00BF4998">
        <w:rPr>
          <w:rFonts w:ascii="Cambria" w:hAnsi="Cambria" w:cs="Calibri"/>
          <w:color w:val="000000"/>
        </w:rPr>
        <w:t xml:space="preserve"> C. </w:t>
      </w:r>
      <w:r w:rsidRPr="00BF4998">
        <w:rPr>
          <w:rFonts w:ascii="Cambria" w:hAnsi="Cambria" w:cs="Calibri"/>
          <w:b/>
          <w:bCs/>
          <w:color w:val="000000"/>
        </w:rPr>
        <w:t>Metodologia do Ensino Superior</w:t>
      </w:r>
      <w:r w:rsidRPr="00BF4998">
        <w:rPr>
          <w:rFonts w:ascii="Cambria" w:hAnsi="Cambria" w:cs="Calibri"/>
          <w:color w:val="000000"/>
        </w:rPr>
        <w:t>. 4a ed. São Paulo: Atlas, 2005.</w:t>
      </w:r>
    </w:p>
    <w:p w14:paraId="1A4BF425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Helvetica"/>
        </w:rPr>
      </w:pPr>
      <w:r w:rsidRPr="00BF4998">
        <w:rPr>
          <w:rFonts w:ascii="Cambria" w:hAnsi="Cambria" w:cs="Calibri"/>
          <w:color w:val="000000"/>
        </w:rPr>
        <w:t xml:space="preserve">LUCKESI, Cipriano C. Recursos para uma prática construtiva da avaliação da aprendizagem na escola. In: _______. </w:t>
      </w:r>
      <w:r w:rsidRPr="00BF4998">
        <w:rPr>
          <w:rFonts w:ascii="Cambria" w:hAnsi="Cambria" w:cs="Calibri"/>
          <w:b/>
          <w:bCs/>
          <w:color w:val="000000"/>
        </w:rPr>
        <w:t>Avaliação da aprendizagem na escola</w:t>
      </w:r>
      <w:r w:rsidRPr="00BF4998">
        <w:rPr>
          <w:rFonts w:ascii="Cambria" w:hAnsi="Cambria" w:cs="Calibri"/>
          <w:color w:val="000000"/>
        </w:rPr>
        <w:t>. pp.87-112. Salvador: Malabares Comunicação e Eventos, 2005.11</w:t>
      </w:r>
    </w:p>
    <w:p w14:paraId="6EE1E23E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b/>
          <w:bCs/>
          <w:color w:val="000000"/>
        </w:rPr>
      </w:pPr>
      <w:r w:rsidRPr="00BF4998">
        <w:rPr>
          <w:rFonts w:ascii="Cambria" w:hAnsi="Cambria" w:cs="Calibri"/>
          <w:color w:val="000000"/>
        </w:rPr>
        <w:t xml:space="preserve">MASETTO, Marcos T. </w:t>
      </w:r>
      <w:r w:rsidRPr="00BF4998">
        <w:rPr>
          <w:rFonts w:ascii="Cambria" w:hAnsi="Cambria" w:cs="Calibri"/>
          <w:b/>
          <w:bCs/>
          <w:color w:val="000000"/>
        </w:rPr>
        <w:t>O professor universitário em aula</w:t>
      </w:r>
      <w:r w:rsidRPr="00BF4998">
        <w:rPr>
          <w:rFonts w:ascii="Cambria" w:hAnsi="Cambria" w:cs="Calibri"/>
          <w:color w:val="000000"/>
        </w:rPr>
        <w:t xml:space="preserve">. São Paulo: MG Editores Associados, 1997. MASETTO, Marcos T. Processo de avaliação e processo de aprendizagem. In: ______ </w:t>
      </w:r>
      <w:r w:rsidRPr="00BF4998">
        <w:rPr>
          <w:rFonts w:ascii="Cambria" w:hAnsi="Cambria" w:cs="Calibri"/>
          <w:b/>
          <w:bCs/>
          <w:color w:val="000000"/>
        </w:rPr>
        <w:t>Competência</w:t>
      </w:r>
    </w:p>
    <w:p w14:paraId="6AB14434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b/>
          <w:bCs/>
          <w:color w:val="000000"/>
        </w:rPr>
        <w:t>Pedagógica do Professor Universitário</w:t>
      </w:r>
      <w:r w:rsidRPr="00BF4998">
        <w:rPr>
          <w:rFonts w:ascii="Cambria" w:hAnsi="Cambria" w:cs="Calibri"/>
          <w:color w:val="000000"/>
        </w:rPr>
        <w:t xml:space="preserve">. 2a ed. pp. 165-179. São Paulo: </w:t>
      </w:r>
      <w:proofErr w:type="spellStart"/>
      <w:r w:rsidRPr="00BF4998">
        <w:rPr>
          <w:rFonts w:ascii="Cambria" w:hAnsi="Cambria" w:cs="Calibri"/>
          <w:color w:val="000000"/>
        </w:rPr>
        <w:t>Summus</w:t>
      </w:r>
      <w:proofErr w:type="spellEnd"/>
      <w:r w:rsidRPr="00BF4998">
        <w:rPr>
          <w:rFonts w:ascii="Cambria" w:hAnsi="Cambria" w:cs="Calibri"/>
          <w:color w:val="000000"/>
        </w:rPr>
        <w:t>, 2012.</w:t>
      </w:r>
    </w:p>
    <w:p w14:paraId="2D927D72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 xml:space="preserve">MORETTO, Vasco P. Avaliar com eficácia e eficiência. In: ________ </w:t>
      </w:r>
      <w:r w:rsidRPr="00BF4998">
        <w:rPr>
          <w:rFonts w:ascii="Cambria" w:hAnsi="Cambria" w:cs="Calibri"/>
          <w:b/>
          <w:bCs/>
          <w:color w:val="000000"/>
        </w:rPr>
        <w:t xml:space="preserve">Prova: </w:t>
      </w:r>
      <w:r w:rsidRPr="00BF4998">
        <w:rPr>
          <w:rFonts w:ascii="Cambria" w:hAnsi="Cambria" w:cs="Calibri"/>
          <w:color w:val="000000"/>
        </w:rPr>
        <w:t>um momento privilegiado</w:t>
      </w:r>
    </w:p>
    <w:p w14:paraId="67E3503C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>de estudo, não um acerto de contas. pp. 93-122. Rio de Janeiro: DP&amp;A, 2002.</w:t>
      </w:r>
    </w:p>
    <w:p w14:paraId="1689F520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 xml:space="preserve">MORETTO, Vasco P. A prova operatória: ressignificando a Taxonomia de Bloom. In: ________ </w:t>
      </w:r>
      <w:r w:rsidRPr="00BF4998">
        <w:rPr>
          <w:rFonts w:ascii="Cambria" w:hAnsi="Cambria" w:cs="Calibri"/>
          <w:b/>
          <w:bCs/>
          <w:color w:val="000000"/>
        </w:rPr>
        <w:t xml:space="preserve">Prova: </w:t>
      </w:r>
      <w:r w:rsidRPr="00BF4998">
        <w:rPr>
          <w:rFonts w:ascii="Cambria" w:hAnsi="Cambria" w:cs="Calibri"/>
          <w:color w:val="000000"/>
        </w:rPr>
        <w:t>um momento privilegiado de estudo, não um acerto de contas. pp. 123-150. Rio de Janeiro: DP&amp;A, 2002.</w:t>
      </w:r>
    </w:p>
    <w:p w14:paraId="458D929C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Helvetica"/>
        </w:rPr>
      </w:pPr>
      <w:r w:rsidRPr="00BF4998">
        <w:rPr>
          <w:rFonts w:ascii="Cambria" w:hAnsi="Cambria" w:cs="Calibri"/>
          <w:color w:val="000000"/>
        </w:rPr>
        <w:t xml:space="preserve">RUSSEL, Michael K.: AIRASIAN, Peter W. </w:t>
      </w:r>
      <w:r w:rsidRPr="00BF4998">
        <w:rPr>
          <w:rFonts w:ascii="Cambria" w:hAnsi="Cambria" w:cs="Calibri"/>
          <w:b/>
          <w:bCs/>
          <w:color w:val="000000"/>
        </w:rPr>
        <w:t xml:space="preserve">Avaliação em sala de aula: </w:t>
      </w:r>
      <w:r w:rsidRPr="00BF4998">
        <w:rPr>
          <w:rFonts w:ascii="Cambria" w:hAnsi="Cambria" w:cs="Calibri"/>
          <w:color w:val="000000"/>
        </w:rPr>
        <w:t>conceitos e aplicações. 7a ed.</w:t>
      </w:r>
    </w:p>
    <w:p w14:paraId="633E372C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>Pp. 138-163. Porto Alegre: AMGH, 2014.</w:t>
      </w:r>
    </w:p>
    <w:p w14:paraId="64D77E48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color w:val="000000"/>
        </w:rPr>
        <w:t xml:space="preserve">SANMARTI, </w:t>
      </w:r>
      <w:proofErr w:type="spellStart"/>
      <w:r w:rsidRPr="00BF4998">
        <w:rPr>
          <w:rFonts w:ascii="Cambria" w:hAnsi="Cambria" w:cs="Calibri"/>
          <w:color w:val="000000"/>
        </w:rPr>
        <w:t>Neus</w:t>
      </w:r>
      <w:proofErr w:type="spellEnd"/>
      <w:r w:rsidRPr="00BF4998">
        <w:rPr>
          <w:rFonts w:ascii="Cambria" w:hAnsi="Cambria" w:cs="Calibri"/>
          <w:color w:val="000000"/>
        </w:rPr>
        <w:t>. A utilização de diferentes instrumentos pode melhorar a avaliação. In: ________</w:t>
      </w:r>
    </w:p>
    <w:p w14:paraId="3A146E31" w14:textId="77777777" w:rsidR="00BC09B9" w:rsidRPr="00BF4998" w:rsidRDefault="00BC09B9" w:rsidP="00BC09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mbria" w:hAnsi="Cambria" w:cs="Calibri"/>
          <w:color w:val="000000"/>
        </w:rPr>
      </w:pPr>
      <w:r w:rsidRPr="00BF4998">
        <w:rPr>
          <w:rFonts w:ascii="Cambria" w:hAnsi="Cambria" w:cs="Calibri"/>
          <w:b/>
          <w:bCs/>
          <w:color w:val="000000"/>
        </w:rPr>
        <w:t xml:space="preserve">Avaliar para aprender. </w:t>
      </w:r>
      <w:r w:rsidRPr="00BF4998">
        <w:rPr>
          <w:rFonts w:ascii="Cambria" w:hAnsi="Cambria" w:cs="Calibri"/>
          <w:color w:val="000000"/>
        </w:rPr>
        <w:t>pp. 97-105. Porto Alegre: Artmed, 2009.</w:t>
      </w:r>
    </w:p>
    <w:p w14:paraId="3CD42611" w14:textId="77777777" w:rsidR="00BC09B9" w:rsidRPr="00BF4998" w:rsidRDefault="00BC09B9" w:rsidP="00BC09B9">
      <w:pPr>
        <w:jc w:val="both"/>
        <w:rPr>
          <w:rFonts w:ascii="Cambria" w:hAnsi="Cambria" w:cs="Calibri"/>
        </w:rPr>
      </w:pPr>
      <w:r w:rsidRPr="00BF4998">
        <w:rPr>
          <w:rFonts w:ascii="Cambria" w:hAnsi="Cambria" w:cs="Calibri"/>
          <w:color w:val="000000"/>
        </w:rPr>
        <w:t xml:space="preserve">SUHR, </w:t>
      </w:r>
      <w:proofErr w:type="spellStart"/>
      <w:r w:rsidRPr="00BF4998">
        <w:rPr>
          <w:rFonts w:ascii="Cambria" w:hAnsi="Cambria" w:cs="Calibri"/>
          <w:color w:val="000000"/>
        </w:rPr>
        <w:t>Inge</w:t>
      </w:r>
      <w:proofErr w:type="spellEnd"/>
      <w:r w:rsidRPr="00BF4998">
        <w:rPr>
          <w:rFonts w:ascii="Cambria" w:hAnsi="Cambria" w:cs="Calibri"/>
          <w:color w:val="000000"/>
        </w:rPr>
        <w:t xml:space="preserve"> R. F. Rumo a uma avaliação significativa no ensino superior. In: ________ Processo avaliativo no ensino superior. pp. 81-101. Curitiba: </w:t>
      </w:r>
      <w:proofErr w:type="spellStart"/>
      <w:r w:rsidRPr="00BF4998">
        <w:rPr>
          <w:rFonts w:ascii="Cambria" w:hAnsi="Cambria" w:cs="Calibri"/>
          <w:color w:val="000000"/>
        </w:rPr>
        <w:t>Ibpex</w:t>
      </w:r>
      <w:proofErr w:type="spellEnd"/>
      <w:r w:rsidRPr="00BF4998">
        <w:rPr>
          <w:rFonts w:ascii="Cambria" w:hAnsi="Cambria" w:cs="Calibri"/>
          <w:color w:val="000000"/>
        </w:rPr>
        <w:t>, 2008.</w:t>
      </w:r>
    </w:p>
    <w:sectPr w:rsidR="00BC09B9" w:rsidRPr="00BF4998" w:rsidSect="00397C63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56C68EA"/>
    <w:multiLevelType w:val="hybridMultilevel"/>
    <w:tmpl w:val="614AC248"/>
    <w:lvl w:ilvl="0" w:tplc="4642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17E0"/>
    <w:multiLevelType w:val="hybridMultilevel"/>
    <w:tmpl w:val="25F0E2FC"/>
    <w:lvl w:ilvl="0" w:tplc="4642B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BC"/>
    <w:rsid w:val="00175299"/>
    <w:rsid w:val="001B2D0A"/>
    <w:rsid w:val="00397C63"/>
    <w:rsid w:val="003B5B10"/>
    <w:rsid w:val="008D00A3"/>
    <w:rsid w:val="00BC09B9"/>
    <w:rsid w:val="00BF4998"/>
    <w:rsid w:val="00C6787E"/>
    <w:rsid w:val="00DD7243"/>
    <w:rsid w:val="00E637B3"/>
    <w:rsid w:val="00F959A1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110EF"/>
  <w14:defaultImageDpi w14:val="300"/>
  <w15:docId w15:val="{434303F5-B5A5-42C7-8F75-D24A5E53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53B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3BC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B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Ferreira</dc:creator>
  <cp:keywords/>
  <dc:description/>
  <cp:lastModifiedBy>claudia marcia</cp:lastModifiedBy>
  <cp:revision>2</cp:revision>
  <cp:lastPrinted>2017-08-16T10:46:00Z</cp:lastPrinted>
  <dcterms:created xsi:type="dcterms:W3CDTF">2017-08-16T11:04:00Z</dcterms:created>
  <dcterms:modified xsi:type="dcterms:W3CDTF">2017-08-16T11:04:00Z</dcterms:modified>
</cp:coreProperties>
</file>